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45BD" w14:textId="77777777" w:rsidR="003D3ECA" w:rsidRPr="003D3ECA" w:rsidRDefault="003D3ECA" w:rsidP="003D3E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C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кейсовых</w:t>
      </w:r>
      <w:proofErr w:type="spellEnd"/>
      <w:r w:rsidRPr="003D3ECA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</w:p>
    <w:p w14:paraId="3BDE2EBD" w14:textId="77777777" w:rsidR="003D3ECA" w:rsidRDefault="003D3ECA" w:rsidP="003D3E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CA">
        <w:rPr>
          <w:rFonts w:ascii="Times New Roman" w:hAnsi="Times New Roman" w:cs="Times New Roman"/>
          <w:b/>
          <w:sz w:val="24"/>
          <w:szCs w:val="24"/>
        </w:rPr>
        <w:t>Всероссийская олимпиада для студентов по финансам и финансовым рынкам</w:t>
      </w:r>
    </w:p>
    <w:p w14:paraId="55B3E2A6" w14:textId="77777777" w:rsidR="003D3ECA" w:rsidRPr="003D3ECA" w:rsidRDefault="003D3ECA" w:rsidP="003D3E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ECA">
        <w:rPr>
          <w:rFonts w:ascii="Times New Roman" w:hAnsi="Times New Roman" w:cs="Times New Roman"/>
          <w:b/>
          <w:sz w:val="24"/>
          <w:szCs w:val="24"/>
        </w:rPr>
        <w:t xml:space="preserve"> им. Б.Н. Христенко_2022</w:t>
      </w:r>
    </w:p>
    <w:p w14:paraId="710AD9E9" w14:textId="77777777" w:rsidR="003D3ECA" w:rsidRDefault="003D3ECA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56B728" w14:textId="77777777" w:rsidR="00486CAD" w:rsidRPr="00D62570" w:rsidRDefault="00245DB9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70">
        <w:rPr>
          <w:rFonts w:ascii="Times New Roman" w:hAnsi="Times New Roman" w:cs="Times New Roman"/>
          <w:b/>
          <w:sz w:val="24"/>
          <w:szCs w:val="24"/>
        </w:rPr>
        <w:t>Мини</w:t>
      </w:r>
      <w:r w:rsidR="00D33E0D" w:rsidRPr="00D62570">
        <w:rPr>
          <w:rFonts w:ascii="Times New Roman" w:hAnsi="Times New Roman" w:cs="Times New Roman"/>
          <w:b/>
          <w:sz w:val="24"/>
          <w:szCs w:val="24"/>
        </w:rPr>
        <w:t>-</w:t>
      </w:r>
      <w:r w:rsidRPr="00D62570">
        <w:rPr>
          <w:rFonts w:ascii="Times New Roman" w:hAnsi="Times New Roman" w:cs="Times New Roman"/>
          <w:b/>
          <w:sz w:val="24"/>
          <w:szCs w:val="24"/>
        </w:rPr>
        <w:t>кейс 1</w:t>
      </w:r>
    </w:p>
    <w:p w14:paraId="41BD4895" w14:textId="77777777" w:rsidR="00D33E0D" w:rsidRPr="00D62570" w:rsidRDefault="00D33E0D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570">
        <w:rPr>
          <w:rFonts w:ascii="Times New Roman" w:hAnsi="Times New Roman" w:cs="Times New Roman"/>
          <w:sz w:val="24"/>
          <w:szCs w:val="24"/>
        </w:rPr>
        <w:t>Максимум 5 баллов</w:t>
      </w:r>
    </w:p>
    <w:p w14:paraId="159647CF" w14:textId="77777777" w:rsidR="00D62570" w:rsidRPr="00D62570" w:rsidRDefault="00D62570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9535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pacing w:val="2"/>
          <w:sz w:val="24"/>
          <w:szCs w:val="28"/>
        </w:rPr>
        <w:t>Инвестор планирует вложить</w:t>
      </w:r>
      <w:r w:rsidRPr="008B010B">
        <w:rPr>
          <w:rFonts w:ascii="Times New Roman" w:hAnsi="Times New Roman" w:cs="Times New Roman"/>
          <w:sz w:val="24"/>
          <w:szCs w:val="28"/>
        </w:rPr>
        <w:t xml:space="preserve"> 60% своих денег в акции компании А (риск 20%), а остальные – в акции компании B (риск 22%). </w:t>
      </w:r>
    </w:p>
    <w:p w14:paraId="5861F742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 xml:space="preserve">По компании А имеется следующая информация. </w:t>
      </w:r>
      <w:r w:rsidRPr="008B010B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В завершившимся году компания А получила чистой прибыли на сумму 22,5 млн. руб., ее акционерный капитал составляет 100 000 обыкновенных акций, каждая по 2 500 руб. Используя метод доходности, инвестор спрогнозировал, что рыночная цена акции составит 1500 руб. </w:t>
      </w:r>
    </w:p>
    <w:p w14:paraId="4157731F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>По акциям компании B инвестору не удалось получить полную информацию и пришлось оценивать доходность по усредненным значениям текущей доходности акций аналогичных компаний:</w:t>
      </w:r>
    </w:p>
    <w:p w14:paraId="52E8456D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>акции компании С = 16 %;</w:t>
      </w:r>
    </w:p>
    <w:p w14:paraId="33BC4648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 xml:space="preserve">акции компании </w:t>
      </w:r>
      <w:r w:rsidRPr="008B010B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8B010B">
        <w:rPr>
          <w:rFonts w:ascii="Times New Roman" w:hAnsi="Times New Roman" w:cs="Times New Roman"/>
          <w:sz w:val="24"/>
          <w:szCs w:val="28"/>
        </w:rPr>
        <w:t xml:space="preserve"> = 24 %;</w:t>
      </w:r>
    </w:p>
    <w:p w14:paraId="58E11045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 xml:space="preserve">акции компании </w:t>
      </w:r>
      <w:r w:rsidRPr="008B010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8B010B">
        <w:rPr>
          <w:rFonts w:ascii="Times New Roman" w:hAnsi="Times New Roman" w:cs="Times New Roman"/>
          <w:sz w:val="24"/>
          <w:szCs w:val="28"/>
        </w:rPr>
        <w:t xml:space="preserve"> = 20 %.</w:t>
      </w:r>
    </w:p>
    <w:p w14:paraId="4D3A1848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8"/>
        </w:rPr>
      </w:pPr>
      <w:r w:rsidRPr="008B010B">
        <w:rPr>
          <w:rFonts w:ascii="Times New Roman" w:hAnsi="Times New Roman" w:cs="Times New Roman"/>
          <w:sz w:val="24"/>
          <w:szCs w:val="28"/>
        </w:rPr>
        <w:t xml:space="preserve">По оценкам инвестора, корреляция между доходностями акций составляет 0,5. </w:t>
      </w:r>
    </w:p>
    <w:p w14:paraId="48C26D9A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b/>
          <w:color w:val="000000"/>
          <w:sz w:val="24"/>
          <w:szCs w:val="28"/>
        </w:rPr>
        <w:t>ВОПРОС</w:t>
      </w:r>
      <w:r w:rsidRPr="008B010B">
        <w:rPr>
          <w:rFonts w:ascii="Times New Roman" w:hAnsi="Times New Roman" w:cs="Times New Roman"/>
          <w:color w:val="000000"/>
          <w:sz w:val="24"/>
          <w:szCs w:val="28"/>
        </w:rPr>
        <w:t>: Помогите инвестору в расчете следующих показателей.</w:t>
      </w:r>
    </w:p>
    <w:p w14:paraId="65F398EA" w14:textId="77777777" w:rsidR="008B010B" w:rsidRPr="008B010B" w:rsidRDefault="008B010B" w:rsidP="008B010B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z w:val="24"/>
          <w:szCs w:val="28"/>
        </w:rPr>
        <w:t>Доходность акции А.</w:t>
      </w:r>
    </w:p>
    <w:p w14:paraId="4D3E3F65" w14:textId="77777777" w:rsidR="008B010B" w:rsidRPr="008B010B" w:rsidRDefault="008B010B" w:rsidP="008B010B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z w:val="24"/>
          <w:szCs w:val="28"/>
        </w:rPr>
        <w:t xml:space="preserve">Доходность акции </w:t>
      </w:r>
      <w:r w:rsidRPr="008B010B">
        <w:rPr>
          <w:rFonts w:ascii="Times New Roman" w:hAnsi="Times New Roman" w:cs="Times New Roman"/>
          <w:color w:val="000000"/>
          <w:sz w:val="24"/>
          <w:szCs w:val="28"/>
          <w:lang w:val="en-US"/>
        </w:rPr>
        <w:t>B</w:t>
      </w:r>
      <w:r w:rsidRPr="008B010B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14:paraId="6812DF3B" w14:textId="77777777" w:rsidR="008B010B" w:rsidRPr="008B010B" w:rsidRDefault="008B010B" w:rsidP="008B010B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z w:val="24"/>
          <w:szCs w:val="28"/>
        </w:rPr>
        <w:t>Доходность портфеля.</w:t>
      </w:r>
    </w:p>
    <w:p w14:paraId="370AB699" w14:textId="77777777" w:rsidR="008B010B" w:rsidRPr="008B010B" w:rsidRDefault="008B010B" w:rsidP="008B010B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8B010B">
        <w:rPr>
          <w:rFonts w:ascii="Times New Roman" w:hAnsi="Times New Roman" w:cs="Times New Roman"/>
          <w:color w:val="000000"/>
          <w:sz w:val="24"/>
          <w:szCs w:val="28"/>
        </w:rPr>
        <w:t>Риск портфеля.</w:t>
      </w:r>
    </w:p>
    <w:p w14:paraId="310BCF18" w14:textId="77777777" w:rsidR="00D22F63" w:rsidRPr="00D62570" w:rsidRDefault="00D22F63" w:rsidP="008B010B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149872" w14:textId="77777777" w:rsidR="003D36C1" w:rsidRPr="00D62570" w:rsidRDefault="003D36C1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92742" w14:textId="77777777" w:rsidR="00C633D2" w:rsidRPr="00D62570" w:rsidRDefault="00C633D2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70">
        <w:rPr>
          <w:rFonts w:ascii="Times New Roman" w:hAnsi="Times New Roman" w:cs="Times New Roman"/>
          <w:b/>
          <w:sz w:val="24"/>
          <w:szCs w:val="24"/>
        </w:rPr>
        <w:t>Мини-кейс 2</w:t>
      </w:r>
    </w:p>
    <w:p w14:paraId="67D3BA48" w14:textId="77777777" w:rsidR="00C633D2" w:rsidRDefault="00C633D2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570">
        <w:rPr>
          <w:rFonts w:ascii="Times New Roman" w:hAnsi="Times New Roman" w:cs="Times New Roman"/>
          <w:sz w:val="24"/>
          <w:szCs w:val="24"/>
        </w:rPr>
        <w:t>Максимум 5 баллов</w:t>
      </w:r>
    </w:p>
    <w:p w14:paraId="409E5BE9" w14:textId="77777777" w:rsidR="00D62570" w:rsidRPr="00D62570" w:rsidRDefault="00D62570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638C7DF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Перед финансовым директором крупной корпорации по производству военной и аэрокосмической техники стоит задача оценить целесообразность сделки поглощения производственной компании «</w:t>
      </w:r>
      <w:proofErr w:type="spellStart"/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Remma</w:t>
      </w:r>
      <w:proofErr w:type="spellEnd"/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». Цель такой сделки – увеличить рентабельность деятельности корпорации.  </w:t>
      </w:r>
    </w:p>
    <w:p w14:paraId="1B5881C4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Основная проблема оценки связана с тем, что целевая компания не является публичной и все полученные о ней данные получены из вторичных источников. В частности, удалось оценить ее объем продаж в 350 млн. $, а EBITDA – в 33 млн. $. При этом, оценка размера EBITDA в 33 млн. $ приблизительна, а оценка объема продаж основана на более точных данных.</w:t>
      </w:r>
    </w:p>
    <w:p w14:paraId="2D77082F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Также были собраны данные о рыночной капитализации и финансовых показателях публичных предприятий, функционирующих в отрасли целевой компании (см. табл.).</w:t>
      </w:r>
    </w:p>
    <w:p w14:paraId="4A81AD98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Финансовому директору требуется оцените стоимость целевой компании «</w:t>
      </w:r>
      <w:proofErr w:type="spellStart"/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Remma</w:t>
      </w:r>
      <w:proofErr w:type="spellEnd"/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» и предоставить руководству два уровня цены:</w:t>
      </w:r>
    </w:p>
    <w:p w14:paraId="6BED74BC" w14:textId="77777777" w:rsidR="008629BC" w:rsidRPr="008629BC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1)</w:t>
      </w: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ab/>
        <w:t>минимально возможный;</w:t>
      </w:r>
    </w:p>
    <w:p w14:paraId="0FA44C4E" w14:textId="77777777" w:rsidR="008B010B" w:rsidRPr="008B010B" w:rsidRDefault="008629BC" w:rsidP="008629BC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>2)</w:t>
      </w:r>
      <w:r w:rsidRPr="008629BC">
        <w:rPr>
          <w:rFonts w:ascii="Times New Roman" w:hAnsi="Times New Roman" w:cs="Times New Roman"/>
          <w:color w:val="000000"/>
          <w:spacing w:val="2"/>
          <w:sz w:val="24"/>
          <w:szCs w:val="28"/>
        </w:rPr>
        <w:tab/>
        <w:t>максимально допустимый.</w:t>
      </w:r>
    </w:p>
    <w:p w14:paraId="2D10177E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tbl>
      <w:tblPr>
        <w:tblStyle w:val="a5"/>
        <w:tblW w:w="10144" w:type="dxa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127"/>
        <w:gridCol w:w="2239"/>
      </w:tblGrid>
      <w:tr w:rsidR="008B010B" w:rsidRPr="008B010B" w14:paraId="62A31F00" w14:textId="77777777" w:rsidTr="008B010B">
        <w:tc>
          <w:tcPr>
            <w:tcW w:w="3369" w:type="dxa"/>
          </w:tcPr>
          <w:p w14:paraId="5D61F75E" w14:textId="77777777" w:rsidR="008B010B" w:rsidRPr="008B010B" w:rsidRDefault="008B010B" w:rsidP="008B010B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Название компании</w:t>
            </w:r>
          </w:p>
        </w:tc>
        <w:tc>
          <w:tcPr>
            <w:tcW w:w="2409" w:type="dxa"/>
          </w:tcPr>
          <w:p w14:paraId="125BACA4" w14:textId="77777777" w:rsidR="008B010B" w:rsidRPr="008B010B" w:rsidRDefault="008B010B" w:rsidP="008B010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Market cap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,</w:t>
            </w: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 млн. $</w:t>
            </w:r>
          </w:p>
        </w:tc>
        <w:tc>
          <w:tcPr>
            <w:tcW w:w="2127" w:type="dxa"/>
          </w:tcPr>
          <w:p w14:paraId="61FABABC" w14:textId="77777777" w:rsidR="008B010B" w:rsidRPr="008B010B" w:rsidRDefault="008B010B" w:rsidP="008B010B">
            <w:pPr>
              <w:ind w:firstLine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Sales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, </w:t>
            </w: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млн.$</w:t>
            </w:r>
          </w:p>
        </w:tc>
        <w:tc>
          <w:tcPr>
            <w:tcW w:w="2239" w:type="dxa"/>
          </w:tcPr>
          <w:p w14:paraId="6ADAB01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EBITDA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, </w:t>
            </w: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млн.$</w:t>
            </w:r>
          </w:p>
        </w:tc>
      </w:tr>
      <w:tr w:rsidR="008B010B" w:rsidRPr="008B010B" w14:paraId="0C2933D5" w14:textId="77777777" w:rsidTr="008B010B">
        <w:tc>
          <w:tcPr>
            <w:tcW w:w="3369" w:type="dxa"/>
          </w:tcPr>
          <w:p w14:paraId="26E93485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CACI, Inc</w:t>
            </w:r>
          </w:p>
        </w:tc>
        <w:tc>
          <w:tcPr>
            <w:tcW w:w="2409" w:type="dxa"/>
          </w:tcPr>
          <w:p w14:paraId="5B908CE9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1470</w:t>
            </w:r>
          </w:p>
        </w:tc>
        <w:tc>
          <w:tcPr>
            <w:tcW w:w="2127" w:type="dxa"/>
          </w:tcPr>
          <w:p w14:paraId="537AA222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1938</w:t>
            </w:r>
          </w:p>
        </w:tc>
        <w:tc>
          <w:tcPr>
            <w:tcW w:w="2239" w:type="dxa"/>
          </w:tcPr>
          <w:p w14:paraId="22AAC3E0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146</w:t>
            </w:r>
          </w:p>
        </w:tc>
      </w:tr>
      <w:tr w:rsidR="008B010B" w:rsidRPr="008B010B" w14:paraId="17DE77F7" w14:textId="77777777" w:rsidTr="008B010B">
        <w:tc>
          <w:tcPr>
            <w:tcW w:w="3369" w:type="dxa"/>
          </w:tcPr>
          <w:p w14:paraId="23B6227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Dynamics Research Corp.</w:t>
            </w:r>
          </w:p>
        </w:tc>
        <w:tc>
          <w:tcPr>
            <w:tcW w:w="2409" w:type="dxa"/>
          </w:tcPr>
          <w:p w14:paraId="1D55BA0D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92</w:t>
            </w:r>
          </w:p>
        </w:tc>
        <w:tc>
          <w:tcPr>
            <w:tcW w:w="2127" w:type="dxa"/>
          </w:tcPr>
          <w:p w14:paraId="7CCF57BD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230</w:t>
            </w:r>
          </w:p>
        </w:tc>
        <w:tc>
          <w:tcPr>
            <w:tcW w:w="2239" w:type="dxa"/>
          </w:tcPr>
          <w:p w14:paraId="3965F7C1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13</w:t>
            </w:r>
          </w:p>
        </w:tc>
      </w:tr>
      <w:tr w:rsidR="008B010B" w:rsidRPr="008B010B" w14:paraId="06F52A20" w14:textId="77777777" w:rsidTr="008B010B">
        <w:tc>
          <w:tcPr>
            <w:tcW w:w="3369" w:type="dxa"/>
          </w:tcPr>
          <w:p w14:paraId="4CACF1D5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General Dynamics</w:t>
            </w:r>
          </w:p>
        </w:tc>
        <w:tc>
          <w:tcPr>
            <w:tcW w:w="2409" w:type="dxa"/>
          </w:tcPr>
          <w:p w14:paraId="21C64D93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36220</w:t>
            </w:r>
          </w:p>
        </w:tc>
        <w:tc>
          <w:tcPr>
            <w:tcW w:w="2127" w:type="dxa"/>
          </w:tcPr>
          <w:p w14:paraId="4F9AC808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27240</w:t>
            </w:r>
          </w:p>
        </w:tc>
        <w:tc>
          <w:tcPr>
            <w:tcW w:w="2239" w:type="dxa"/>
          </w:tcPr>
          <w:p w14:paraId="7FF8CD9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3113</w:t>
            </w:r>
          </w:p>
        </w:tc>
      </w:tr>
      <w:tr w:rsidR="008B010B" w:rsidRPr="008B010B" w14:paraId="055DC0EB" w14:textId="77777777" w:rsidTr="008B010B">
        <w:tc>
          <w:tcPr>
            <w:tcW w:w="3369" w:type="dxa"/>
          </w:tcPr>
          <w:p w14:paraId="065DCDB1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ICF International</w:t>
            </w:r>
          </w:p>
        </w:tc>
        <w:tc>
          <w:tcPr>
            <w:tcW w:w="2409" w:type="dxa"/>
          </w:tcPr>
          <w:p w14:paraId="57A8BE64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258</w:t>
            </w:r>
          </w:p>
        </w:tc>
        <w:tc>
          <w:tcPr>
            <w:tcW w:w="2127" w:type="dxa"/>
          </w:tcPr>
          <w:p w14:paraId="7F9CD9EA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727</w:t>
            </w:r>
          </w:p>
        </w:tc>
        <w:tc>
          <w:tcPr>
            <w:tcW w:w="2239" w:type="dxa"/>
          </w:tcPr>
          <w:p w14:paraId="3F60F32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71</w:t>
            </w:r>
          </w:p>
        </w:tc>
      </w:tr>
      <w:tr w:rsidR="008B010B" w:rsidRPr="008B010B" w14:paraId="54AFA821" w14:textId="77777777" w:rsidTr="008B010B">
        <w:tc>
          <w:tcPr>
            <w:tcW w:w="3369" w:type="dxa"/>
          </w:tcPr>
          <w:p w14:paraId="78BEBA5B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Keynote Systems</w:t>
            </w:r>
          </w:p>
        </w:tc>
        <w:tc>
          <w:tcPr>
            <w:tcW w:w="2409" w:type="dxa"/>
          </w:tcPr>
          <w:p w14:paraId="48001DB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210</w:t>
            </w:r>
          </w:p>
        </w:tc>
        <w:tc>
          <w:tcPr>
            <w:tcW w:w="2127" w:type="dxa"/>
          </w:tcPr>
          <w:p w14:paraId="478185B2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68</w:t>
            </w:r>
          </w:p>
        </w:tc>
        <w:tc>
          <w:tcPr>
            <w:tcW w:w="2239" w:type="dxa"/>
          </w:tcPr>
          <w:p w14:paraId="4EF2D3A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(5)</w:t>
            </w:r>
          </w:p>
        </w:tc>
      </w:tr>
      <w:tr w:rsidR="008B010B" w:rsidRPr="008B010B" w14:paraId="5BCC05DB" w14:textId="77777777" w:rsidTr="008B010B">
        <w:tc>
          <w:tcPr>
            <w:tcW w:w="3369" w:type="dxa"/>
          </w:tcPr>
          <w:p w14:paraId="71D1E5B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Lockheed Martin</w:t>
            </w:r>
          </w:p>
        </w:tc>
        <w:tc>
          <w:tcPr>
            <w:tcW w:w="2409" w:type="dxa"/>
          </w:tcPr>
          <w:p w14:paraId="1C673EC8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43020</w:t>
            </w:r>
          </w:p>
        </w:tc>
        <w:tc>
          <w:tcPr>
            <w:tcW w:w="2127" w:type="dxa"/>
          </w:tcPr>
          <w:p w14:paraId="3FE03E45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41862</w:t>
            </w:r>
          </w:p>
        </w:tc>
        <w:tc>
          <w:tcPr>
            <w:tcW w:w="2239" w:type="dxa"/>
          </w:tcPr>
          <w:p w14:paraId="18C1BF13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4527</w:t>
            </w:r>
          </w:p>
        </w:tc>
      </w:tr>
      <w:tr w:rsidR="008B010B" w:rsidRPr="008B010B" w14:paraId="49B835BD" w14:textId="77777777" w:rsidTr="008B010B">
        <w:tc>
          <w:tcPr>
            <w:tcW w:w="3369" w:type="dxa"/>
          </w:tcPr>
          <w:p w14:paraId="3D09871D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ManTech International</w:t>
            </w:r>
          </w:p>
        </w:tc>
        <w:tc>
          <w:tcPr>
            <w:tcW w:w="2409" w:type="dxa"/>
          </w:tcPr>
          <w:p w14:paraId="3191343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1630</w:t>
            </w:r>
          </w:p>
        </w:tc>
        <w:tc>
          <w:tcPr>
            <w:tcW w:w="2127" w:type="dxa"/>
          </w:tcPr>
          <w:p w14:paraId="2A8DAD54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1448</w:t>
            </w:r>
          </w:p>
        </w:tc>
        <w:tc>
          <w:tcPr>
            <w:tcW w:w="2239" w:type="dxa"/>
          </w:tcPr>
          <w:p w14:paraId="183F2697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114</w:t>
            </w:r>
          </w:p>
        </w:tc>
      </w:tr>
      <w:tr w:rsidR="008B010B" w:rsidRPr="008B010B" w14:paraId="0045E8DB" w14:textId="77777777" w:rsidTr="008B010B">
        <w:tc>
          <w:tcPr>
            <w:tcW w:w="3369" w:type="dxa"/>
          </w:tcPr>
          <w:p w14:paraId="3AF2670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NCI, Inc</w:t>
            </w:r>
          </w:p>
        </w:tc>
        <w:tc>
          <w:tcPr>
            <w:tcW w:w="2409" w:type="dxa"/>
          </w:tcPr>
          <w:p w14:paraId="0068644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249</w:t>
            </w:r>
          </w:p>
        </w:tc>
        <w:tc>
          <w:tcPr>
            <w:tcW w:w="2127" w:type="dxa"/>
          </w:tcPr>
          <w:p w14:paraId="3FDC73C7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304</w:t>
            </w:r>
          </w:p>
        </w:tc>
        <w:tc>
          <w:tcPr>
            <w:tcW w:w="2239" w:type="dxa"/>
          </w:tcPr>
          <w:p w14:paraId="07526DAB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22</w:t>
            </w:r>
          </w:p>
        </w:tc>
      </w:tr>
      <w:tr w:rsidR="008B010B" w:rsidRPr="008B010B" w14:paraId="161BD1D5" w14:textId="77777777" w:rsidTr="008B010B">
        <w:tc>
          <w:tcPr>
            <w:tcW w:w="3369" w:type="dxa"/>
          </w:tcPr>
          <w:p w14:paraId="1502C1B9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Northrop Grumman</w:t>
            </w:r>
          </w:p>
        </w:tc>
        <w:tc>
          <w:tcPr>
            <w:tcW w:w="2409" w:type="dxa"/>
          </w:tcPr>
          <w:p w14:paraId="25CE9779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25350</w:t>
            </w:r>
          </w:p>
        </w:tc>
        <w:tc>
          <w:tcPr>
            <w:tcW w:w="2127" w:type="dxa"/>
          </w:tcPr>
          <w:p w14:paraId="0195C6D2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32018</w:t>
            </w:r>
          </w:p>
        </w:tc>
        <w:tc>
          <w:tcPr>
            <w:tcW w:w="2239" w:type="dxa"/>
          </w:tcPr>
          <w:p w14:paraId="69F92560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3006</w:t>
            </w:r>
          </w:p>
        </w:tc>
      </w:tr>
      <w:tr w:rsidR="008B010B" w:rsidRPr="008B010B" w14:paraId="789DBBA7" w14:textId="77777777" w:rsidTr="008B010B">
        <w:tc>
          <w:tcPr>
            <w:tcW w:w="3369" w:type="dxa"/>
          </w:tcPr>
          <w:p w14:paraId="444DA448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Perot Systems</w:t>
            </w:r>
          </w:p>
        </w:tc>
        <w:tc>
          <w:tcPr>
            <w:tcW w:w="2409" w:type="dxa"/>
          </w:tcPr>
          <w:p w14:paraId="71A43811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1850</w:t>
            </w:r>
          </w:p>
        </w:tc>
        <w:tc>
          <w:tcPr>
            <w:tcW w:w="2127" w:type="dxa"/>
          </w:tcPr>
          <w:p w14:paraId="4407E32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2612</w:t>
            </w:r>
          </w:p>
        </w:tc>
        <w:tc>
          <w:tcPr>
            <w:tcW w:w="2239" w:type="dxa"/>
          </w:tcPr>
          <w:p w14:paraId="7DA3310D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184</w:t>
            </w:r>
          </w:p>
        </w:tc>
      </w:tr>
      <w:tr w:rsidR="008B010B" w:rsidRPr="008B010B" w14:paraId="7237C8B0" w14:textId="77777777" w:rsidTr="008B010B">
        <w:tc>
          <w:tcPr>
            <w:tcW w:w="3369" w:type="dxa"/>
          </w:tcPr>
          <w:p w14:paraId="5634E04A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lastRenderedPageBreak/>
              <w:t>SAIC, Inc</w:t>
            </w:r>
          </w:p>
        </w:tc>
        <w:tc>
          <w:tcPr>
            <w:tcW w:w="2409" w:type="dxa"/>
          </w:tcPr>
          <w:p w14:paraId="458D6301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3640</w:t>
            </w:r>
          </w:p>
        </w:tc>
        <w:tc>
          <w:tcPr>
            <w:tcW w:w="2127" w:type="dxa"/>
          </w:tcPr>
          <w:p w14:paraId="5C1BFB52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8935</w:t>
            </w:r>
          </w:p>
        </w:tc>
        <w:tc>
          <w:tcPr>
            <w:tcW w:w="2239" w:type="dxa"/>
          </w:tcPr>
          <w:p w14:paraId="38857073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666</w:t>
            </w:r>
          </w:p>
        </w:tc>
      </w:tr>
      <w:tr w:rsidR="008B010B" w:rsidRPr="008B010B" w14:paraId="1B2EF7B9" w14:textId="77777777" w:rsidTr="008B010B">
        <w:tc>
          <w:tcPr>
            <w:tcW w:w="3369" w:type="dxa"/>
          </w:tcPr>
          <w:p w14:paraId="611AEAC4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Stanley, Inc</w:t>
            </w:r>
          </w:p>
        </w:tc>
        <w:tc>
          <w:tcPr>
            <w:tcW w:w="2409" w:type="dxa"/>
          </w:tcPr>
          <w:p w14:paraId="60AD5185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570</w:t>
            </w:r>
          </w:p>
        </w:tc>
        <w:tc>
          <w:tcPr>
            <w:tcW w:w="2127" w:type="dxa"/>
          </w:tcPr>
          <w:p w14:paraId="741D3FDE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409</w:t>
            </w:r>
          </w:p>
        </w:tc>
        <w:tc>
          <w:tcPr>
            <w:tcW w:w="2239" w:type="dxa"/>
          </w:tcPr>
          <w:p w14:paraId="21281EB6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25</w:t>
            </w:r>
          </w:p>
        </w:tc>
      </w:tr>
      <w:tr w:rsidR="008B010B" w:rsidRPr="008B010B" w14:paraId="042B267E" w14:textId="77777777" w:rsidTr="008B010B">
        <w:tc>
          <w:tcPr>
            <w:tcW w:w="3369" w:type="dxa"/>
          </w:tcPr>
          <w:p w14:paraId="73E2323F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Tier technologies</w:t>
            </w:r>
          </w:p>
        </w:tc>
        <w:tc>
          <w:tcPr>
            <w:tcW w:w="2409" w:type="dxa"/>
          </w:tcPr>
          <w:p w14:paraId="47AE8403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152</w:t>
            </w:r>
          </w:p>
        </w:tc>
        <w:tc>
          <w:tcPr>
            <w:tcW w:w="2127" w:type="dxa"/>
          </w:tcPr>
          <w:p w14:paraId="0D0B3AF0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111</w:t>
            </w:r>
          </w:p>
        </w:tc>
        <w:tc>
          <w:tcPr>
            <w:tcW w:w="2239" w:type="dxa"/>
          </w:tcPr>
          <w:p w14:paraId="02E0C67C" w14:textId="77777777" w:rsidR="008B010B" w:rsidRPr="008B010B" w:rsidRDefault="008B010B" w:rsidP="008B010B">
            <w:pPr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8B010B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(22)</w:t>
            </w:r>
          </w:p>
        </w:tc>
      </w:tr>
    </w:tbl>
    <w:p w14:paraId="06706009" w14:textId="77777777" w:rsidR="008B010B" w:rsidRPr="008B010B" w:rsidRDefault="008B010B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14:paraId="2020DC7B" w14:textId="77777777" w:rsidR="00784E9A" w:rsidRPr="008B010B" w:rsidRDefault="00784E9A" w:rsidP="008B010B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14:paraId="27B70D24" w14:textId="77777777" w:rsidR="00D62570" w:rsidRPr="00D62570" w:rsidRDefault="00D62570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570">
        <w:rPr>
          <w:rFonts w:ascii="Times New Roman" w:hAnsi="Times New Roman" w:cs="Times New Roman"/>
          <w:b/>
          <w:sz w:val="24"/>
          <w:szCs w:val="24"/>
        </w:rPr>
        <w:t>Мини-кейс 3</w:t>
      </w:r>
    </w:p>
    <w:p w14:paraId="347FE257" w14:textId="77777777" w:rsidR="00D62570" w:rsidRPr="00D62570" w:rsidRDefault="00D62570" w:rsidP="00D625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62570">
        <w:rPr>
          <w:rFonts w:ascii="Times New Roman" w:hAnsi="Times New Roman" w:cs="Times New Roman"/>
          <w:sz w:val="24"/>
          <w:szCs w:val="24"/>
        </w:rPr>
        <w:t>Максимум 10 баллов</w:t>
      </w:r>
    </w:p>
    <w:p w14:paraId="291AE94A" w14:textId="77777777" w:rsidR="00D62570" w:rsidRPr="008B010B" w:rsidRDefault="00D62570" w:rsidP="00D625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7492E1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ПАО «Икснефтегаз» разрабатывает новое положение о дивидендной политике. Цель создания нового положения – обеспечить более тесную связь суммы дивидендных выплат с существенными показателями компании, а также прозрачность механизма определения суммы дивидендов для акционеров. Финансовым директором предложен порядок расчета, при котором величина дивидендных выплат составляет меньшую их двух расчетных величин.</w:t>
      </w:r>
    </w:p>
    <w:p w14:paraId="7B3370CA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Д = (EBITDA – Проценты к уплате – Налог на прибыль)*К aj</w:t>
      </w:r>
    </w:p>
    <w:p w14:paraId="7F7AF847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где EBITDA – прибыль до уплаты процентов, налогов и амортизации,</w:t>
      </w:r>
    </w:p>
    <w:p w14:paraId="2B93C896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Кaj – коэффициент, зависящий от уровня финансовой устойчивости. При нормальном уровне принимается равным 0,7, при удовлетворительном 0,5, при неудовлетворительном – 0,3. </w:t>
      </w:r>
    </w:p>
    <w:p w14:paraId="5F82E1A8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величина чистой прибыли, уменьшенная на величину обязательных отчислений в резервный фонд, суммы дивидендов по привилегированным акциям, величины инвестиций в основные средства, осуществленные за счет чистой прибыли. </w:t>
      </w:r>
    </w:p>
    <w:p w14:paraId="3B17C897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Исходные данные для решения приведены в таблице. Для определения Кaj используйте следующее условие: если доля обязательств в капитале превышает 60 %, это свидетельствует о неудовлетворительном уровне устойчивости не зависимо от других финансовых показателей. Величина инвестиций на приобретение, создание, модернизацию, реконструкцию и подготовку к использованию внеоборотных активов в компании за отчетный год составила 3 339 млн. руб., в том числе за счет прироста кредитов – 2 190 млн. руб. Компания отчисляет в резервный фонд ежегодно 5 % от чистой прибыли, а на дивиденды по привилегированным акциям направляется 10 % чистой прибыли.</w:t>
      </w:r>
    </w:p>
    <w:p w14:paraId="1A772B8A" w14:textId="77777777" w:rsidR="00242592" w:rsidRDefault="00242592" w:rsidP="00242592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14:paraId="68CE0913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1. Рассчитайте величину дивидендных выплат компании в 2020 </w:t>
      </w:r>
      <w:proofErr w:type="gramStart"/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году</w:t>
      </w:r>
      <w:proofErr w:type="gramEnd"/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 xml:space="preserve"> но новой методике. </w:t>
      </w:r>
    </w:p>
    <w:p w14:paraId="433F03BB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2. Целесообразно ли, на ваш взгляд, устанавливать ограничение, предложенное одним из членов Совета директоров компании: сумма дивидендов к выплате не должна превышать 50 % от суммы свободного денежного потока.</w:t>
      </w:r>
    </w:p>
    <w:p w14:paraId="637EF100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14:paraId="17F08590" w14:textId="77777777" w:rsidR="00242592" w:rsidRDefault="00242592" w:rsidP="00242592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Основные показатели деятельности ПАО «Икснефтегаз» за 2020 г.</w:t>
      </w:r>
    </w:p>
    <w:p w14:paraId="0140A2C2" w14:textId="77777777" w:rsidR="00242592" w:rsidRPr="00242592" w:rsidRDefault="00242592" w:rsidP="00242592">
      <w:pPr>
        <w:spacing w:after="0" w:line="240" w:lineRule="auto"/>
        <w:ind w:firstLine="397"/>
        <w:jc w:val="center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  <w:r w:rsidRPr="00242592">
        <w:rPr>
          <w:rFonts w:ascii="Times New Roman" w:hAnsi="Times New Roman" w:cs="Times New Roman"/>
          <w:color w:val="000000"/>
          <w:spacing w:val="2"/>
          <w:sz w:val="24"/>
          <w:szCs w:val="28"/>
        </w:rPr>
        <w:t>(показатели баланса – на 31.12.20 г.)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2527"/>
        <w:gridCol w:w="75"/>
      </w:tblGrid>
      <w:tr w:rsidR="00242592" w:rsidRPr="00242592" w14:paraId="70F1BE03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vAlign w:val="center"/>
          </w:tcPr>
          <w:p w14:paraId="27B09DDB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Показатель</w:t>
            </w:r>
          </w:p>
        </w:tc>
        <w:tc>
          <w:tcPr>
            <w:tcW w:w="2497" w:type="dxa"/>
            <w:vAlign w:val="center"/>
          </w:tcPr>
          <w:p w14:paraId="3DA4A8EF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8"/>
              </w:rPr>
              <w:t>Сумма, млн. руб.</w:t>
            </w:r>
          </w:p>
        </w:tc>
      </w:tr>
      <w:tr w:rsidR="00242592" w:rsidRPr="00242592" w14:paraId="03653497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051371E1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Внеоборотные активы</w:t>
            </w:r>
          </w:p>
        </w:tc>
        <w:tc>
          <w:tcPr>
            <w:tcW w:w="2497" w:type="dxa"/>
            <w:vAlign w:val="center"/>
            <w:hideMark/>
          </w:tcPr>
          <w:p w14:paraId="560470B8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19 805</w:t>
            </w:r>
          </w:p>
        </w:tc>
      </w:tr>
      <w:tr w:rsidR="00242592" w:rsidRPr="00242592" w14:paraId="59E473B3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2DF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Запасы и прочие оборотные активы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3865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8 667</w:t>
            </w:r>
          </w:p>
        </w:tc>
      </w:tr>
      <w:tr w:rsidR="00242592" w:rsidRPr="00242592" w14:paraId="61C7769B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8148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Дебиторская задолженность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62B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6 933</w:t>
            </w:r>
          </w:p>
        </w:tc>
      </w:tr>
      <w:tr w:rsidR="00242592" w:rsidRPr="00242592" w14:paraId="442E09C8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033B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Денежные средства и денежные эквиваленты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CFF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959 </w:t>
            </w:r>
          </w:p>
        </w:tc>
      </w:tr>
      <w:tr w:rsidR="00242592" w:rsidRPr="00242592" w14:paraId="39D0A0DA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1493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Капитал и резервы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19DB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12 913</w:t>
            </w:r>
          </w:p>
        </w:tc>
      </w:tr>
      <w:tr w:rsidR="00242592" w:rsidRPr="00242592" w14:paraId="7D22C839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B12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Долгосрочные обязательства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C6FF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13 791</w:t>
            </w:r>
          </w:p>
        </w:tc>
      </w:tr>
      <w:tr w:rsidR="00242592" w:rsidRPr="00242592" w14:paraId="416C70EC" w14:textId="77777777" w:rsidTr="00F5460C">
        <w:trPr>
          <w:gridAfter w:val="1"/>
          <w:wAfter w:w="30" w:type="dxa"/>
          <w:tblCellSpacing w:w="15" w:type="dxa"/>
          <w:jc w:val="center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3DA0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Краткосрочные обязательства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F3F9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9 720</w:t>
            </w:r>
          </w:p>
        </w:tc>
      </w:tr>
      <w:tr w:rsidR="00242592" w:rsidRPr="00242592" w14:paraId="36F54112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7834E2E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Выручка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1FF28C18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 xml:space="preserve">22 412 </w:t>
            </w:r>
          </w:p>
        </w:tc>
      </w:tr>
      <w:tr w:rsidR="00242592" w:rsidRPr="00242592" w14:paraId="308C17F9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79CE2CE6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Прибыль (убыток) от продаж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759D59D4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4 235</w:t>
            </w:r>
          </w:p>
        </w:tc>
      </w:tr>
      <w:tr w:rsidR="00242592" w:rsidRPr="00242592" w14:paraId="04E28281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09806BF9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Проценты к уплате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1EBAF1FF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(1 101)</w:t>
            </w:r>
          </w:p>
        </w:tc>
      </w:tr>
      <w:tr w:rsidR="00242592" w:rsidRPr="00242592" w14:paraId="59DED5FD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00B5518E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Прибыль (убыток) до налогообложения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47065B06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3 410</w:t>
            </w:r>
          </w:p>
        </w:tc>
      </w:tr>
      <w:tr w:rsidR="00242592" w:rsidRPr="00242592" w14:paraId="21309AD4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54C423ED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Налог на прибыль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03A30CD9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(372)</w:t>
            </w:r>
          </w:p>
        </w:tc>
      </w:tr>
      <w:tr w:rsidR="00242592" w:rsidRPr="00242592" w14:paraId="000A1ACA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  <w:hideMark/>
          </w:tcPr>
          <w:p w14:paraId="60B0811E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Чистая прибыль (убыток)</w:t>
            </w:r>
          </w:p>
        </w:tc>
        <w:tc>
          <w:tcPr>
            <w:tcW w:w="2557" w:type="dxa"/>
            <w:gridSpan w:val="2"/>
            <w:vAlign w:val="center"/>
            <w:hideMark/>
          </w:tcPr>
          <w:p w14:paraId="6E564E63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3 038</w:t>
            </w:r>
          </w:p>
        </w:tc>
      </w:tr>
      <w:tr w:rsidR="00242592" w:rsidRPr="00242592" w14:paraId="257078ED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1EB25D60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Сумма начисленной амортизации</w:t>
            </w:r>
          </w:p>
        </w:tc>
        <w:tc>
          <w:tcPr>
            <w:tcW w:w="2557" w:type="dxa"/>
            <w:gridSpan w:val="2"/>
            <w:vAlign w:val="center"/>
          </w:tcPr>
          <w:p w14:paraId="3BB4E2E0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1 180</w:t>
            </w:r>
          </w:p>
        </w:tc>
      </w:tr>
      <w:tr w:rsidR="00242592" w:rsidRPr="00242592" w14:paraId="3CE46C6C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66DBF5DC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Денежные потоки от текущих операций</w:t>
            </w:r>
          </w:p>
        </w:tc>
        <w:tc>
          <w:tcPr>
            <w:tcW w:w="2557" w:type="dxa"/>
            <w:gridSpan w:val="2"/>
            <w:vAlign w:val="center"/>
          </w:tcPr>
          <w:p w14:paraId="1F73E9FE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2 150</w:t>
            </w:r>
          </w:p>
        </w:tc>
      </w:tr>
      <w:tr w:rsidR="00242592" w:rsidRPr="00242592" w14:paraId="7054A148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22203916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lastRenderedPageBreak/>
              <w:t>Денежные потоки от инвестиционных операций</w:t>
            </w:r>
          </w:p>
        </w:tc>
        <w:tc>
          <w:tcPr>
            <w:tcW w:w="2557" w:type="dxa"/>
            <w:gridSpan w:val="2"/>
            <w:vAlign w:val="center"/>
          </w:tcPr>
          <w:p w14:paraId="493AD044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(4 203)</w:t>
            </w:r>
          </w:p>
        </w:tc>
      </w:tr>
      <w:tr w:rsidR="00242592" w:rsidRPr="00242592" w14:paraId="2DF60AA4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79BC4C87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Денежные потоки от финансовых операций</w:t>
            </w:r>
          </w:p>
        </w:tc>
        <w:tc>
          <w:tcPr>
            <w:tcW w:w="2557" w:type="dxa"/>
            <w:gridSpan w:val="2"/>
            <w:vAlign w:val="center"/>
          </w:tcPr>
          <w:p w14:paraId="47D0BD2C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1 698</w:t>
            </w:r>
          </w:p>
        </w:tc>
      </w:tr>
      <w:tr w:rsidR="00242592" w:rsidRPr="00242592" w14:paraId="3875EDED" w14:textId="77777777" w:rsidTr="00F5460C">
        <w:trPr>
          <w:tblCellSpacing w:w="15" w:type="dxa"/>
          <w:jc w:val="center"/>
        </w:trPr>
        <w:tc>
          <w:tcPr>
            <w:tcW w:w="5620" w:type="dxa"/>
            <w:vAlign w:val="center"/>
          </w:tcPr>
          <w:p w14:paraId="5302FE42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Сальдо денежных потоков за отчетный период</w:t>
            </w:r>
          </w:p>
        </w:tc>
        <w:tc>
          <w:tcPr>
            <w:tcW w:w="2557" w:type="dxa"/>
            <w:gridSpan w:val="2"/>
            <w:vAlign w:val="center"/>
          </w:tcPr>
          <w:p w14:paraId="34E10B29" w14:textId="77777777" w:rsidR="00242592" w:rsidRPr="00242592" w:rsidRDefault="00242592" w:rsidP="00242592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</w:pPr>
            <w:r w:rsidRPr="00242592">
              <w:rPr>
                <w:rFonts w:ascii="Times New Roman" w:hAnsi="Times New Roman" w:cs="Times New Roman"/>
                <w:color w:val="000000"/>
                <w:spacing w:val="2"/>
                <w:sz w:val="24"/>
                <w:szCs w:val="28"/>
              </w:rPr>
              <w:t>(355)</w:t>
            </w:r>
          </w:p>
        </w:tc>
      </w:tr>
    </w:tbl>
    <w:p w14:paraId="1F356242" w14:textId="77777777" w:rsidR="00242592" w:rsidRPr="00242592" w:rsidRDefault="00242592" w:rsidP="00242592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pacing w:val="2"/>
          <w:sz w:val="24"/>
          <w:szCs w:val="28"/>
        </w:rPr>
      </w:pPr>
    </w:p>
    <w:p w14:paraId="5E074A8D" w14:textId="77777777" w:rsidR="00006230" w:rsidRDefault="00006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8C3F57D" w14:textId="77777777" w:rsidR="00D62570" w:rsidRPr="00D62570" w:rsidRDefault="00D62570" w:rsidP="00D62570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Мини-кейс </w:t>
      </w:r>
      <w:r w:rsidRPr="00D62570">
        <w:rPr>
          <w:rFonts w:ascii="Times New Roman" w:hAnsi="Times New Roman"/>
          <w:b/>
          <w:sz w:val="24"/>
          <w:szCs w:val="24"/>
        </w:rPr>
        <w:t>4</w:t>
      </w:r>
    </w:p>
    <w:p w14:paraId="70AD9652" w14:textId="77777777" w:rsidR="00D62570" w:rsidRPr="00D62570" w:rsidRDefault="00D62570" w:rsidP="00D62570">
      <w:pPr>
        <w:pStyle w:val="a6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D62570">
        <w:rPr>
          <w:rFonts w:ascii="Times New Roman" w:hAnsi="Times New Roman"/>
          <w:sz w:val="24"/>
          <w:szCs w:val="24"/>
        </w:rPr>
        <w:t>Максимум 10 баллов</w:t>
      </w:r>
    </w:p>
    <w:p w14:paraId="4E6CC6CB" w14:textId="77777777" w:rsidR="00D62570" w:rsidRPr="00006230" w:rsidRDefault="00D6257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32F17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вид деятельности Челябинского предприятия ООО «УРАЛАГРОЗАПЧАСТЬ» – продажа запасных частей к гусеничной вездеходной технике ГТ-ТБ и его модификаций – МТЛБ, ГАЗ-71, ГАЗ-34039, трактору Т-170, автомобилю Урал. Доля оптовой торговли запасными частями к тяжелой гусеничной технике в выручке за последние пять лет составляет 98%. </w:t>
      </w:r>
    </w:p>
    <w:p w14:paraId="01025AEE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с 2011 года уровень реализации и рентабельность продаж ООО «УРАЛАГРОЗАПЧАСТЬ» начали снижаться, в конце 2012 были решено диверсифицировать бизнес. В результате ООО «УРАЛАГРОЗАПЧАСТЬ» заключило партнерские отношения с ООО «Экотермикс-Урал», которое занимается поставкой двухкомпонентного пенополиуретана «Экотермикс» для утепления помещений. </w:t>
      </w:r>
    </w:p>
    <w:p w14:paraId="5266FA35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ведении бухгалтерского и налогового учета ООО «УРАЛАГРОЗАПЧАСТЬ» не применяет ПБУ 18/02. Резервы в налоговом учете не создает. В бухгалтерском учете создан резерв по сомнительным долгам в сумме 891 тыс.руб. (8,3% объема продаж предприятия за 2013 год) на сумму задолженности ЗАО «Аган-Бурение» и в сумме 47 тыс.руб. на сумму задолженности ООО «СКБ-Мотекс». </w:t>
      </w:r>
    </w:p>
    <w:p w14:paraId="5399A15D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(2013 год) имеется судебное решение Арбитражного суда ХМАО-Югры о взыскании задолженности с ЗАО «Аган-Бурение» в полном объеме. ООО «УРАЛАГРОЗАПЧАСТЬ» на основании судебного решения включено в реестр кредиторов ЗАО «Аган-Бурение». Задолженность на данный момент так и не была погашена, на предприятии-должнике введена процедура конкурсного управления. </w:t>
      </w:r>
    </w:p>
    <w:p w14:paraId="47D0577C" w14:textId="77777777" w:rsid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</w:p>
    <w:p w14:paraId="1EB8FCB3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данные финансовой отчетности ООО «УРАЛАГРОЗАПЧАСТЬ» (табл. 1,2) за 2011-2013 г.г., провести оценку вероятности его банкротства по любым двум моделям из таблицы 3 и сделать 2-3 вывода. </w:t>
      </w:r>
    </w:p>
    <w:p w14:paraId="39C331E6" w14:textId="77777777" w:rsidR="00C633D2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анализ денежных потоков предприятия косвенным методом за последние два года и сделать 1-2 вывода. </w:t>
      </w:r>
    </w:p>
    <w:p w14:paraId="105E1A5A" w14:textId="77777777" w:rsid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5A15A" w14:textId="77777777" w:rsidR="00006230" w:rsidRPr="00006230" w:rsidRDefault="00006230" w:rsidP="00006230">
      <w:pPr>
        <w:spacing w:after="0" w:line="240" w:lineRule="auto"/>
        <w:ind w:firstLine="51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за 2011-2013гг., тыс. руб.</w:t>
      </w:r>
    </w:p>
    <w:tbl>
      <w:tblPr>
        <w:tblW w:w="10252" w:type="dxa"/>
        <w:jc w:val="center"/>
        <w:tblLayout w:type="fixed"/>
        <w:tblLook w:val="04A0" w:firstRow="1" w:lastRow="0" w:firstColumn="1" w:lastColumn="0" w:noHBand="0" w:noVBand="1"/>
      </w:tblPr>
      <w:tblGrid>
        <w:gridCol w:w="6756"/>
        <w:gridCol w:w="1224"/>
        <w:gridCol w:w="1134"/>
        <w:gridCol w:w="1138"/>
      </w:tblGrid>
      <w:tr w:rsidR="00006230" w:rsidRPr="00006230" w14:paraId="0DCE87C6" w14:textId="77777777" w:rsidTr="00006230">
        <w:trPr>
          <w:trHeight w:val="20"/>
          <w:tblHeader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A515" w14:textId="77777777" w:rsidR="00006230" w:rsidRPr="00006230" w:rsidRDefault="00006230" w:rsidP="000062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8D0A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31 декабря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543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31 декабря 2012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279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31 декабря 2011</w:t>
            </w:r>
          </w:p>
        </w:tc>
      </w:tr>
      <w:tr w:rsidR="00006230" w:rsidRPr="00006230" w14:paraId="38A9F66D" w14:textId="77777777" w:rsidTr="00006230">
        <w:trPr>
          <w:trHeight w:val="537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5CD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</w:t>
            </w:r>
          </w:p>
          <w:p w14:paraId="4B65A0DC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Внеоборотные активы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D9025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ADAE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FD1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E4893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107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90BCD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006230" w:rsidRPr="00006230" w14:paraId="048780A8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76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4B96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ADF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32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230" w:rsidRPr="00006230" w14:paraId="41241098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4F3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внеоборотные активы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2AC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03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4F4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06230" w:rsidRPr="00006230" w14:paraId="04C10235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5F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B14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2CD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CAF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006230" w:rsidRPr="00006230" w14:paraId="4868BF7C" w14:textId="77777777" w:rsidTr="00006230">
        <w:trPr>
          <w:trHeight w:val="537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5FA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Оборотные активы</w:t>
            </w:r>
          </w:p>
          <w:p w14:paraId="3A277C0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EF38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AF6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CE9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</w:t>
            </w:r>
          </w:p>
        </w:tc>
      </w:tr>
      <w:tr w:rsidR="00006230" w:rsidRPr="00006230" w14:paraId="213A4B01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8F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по приобретенным ценностям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B28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B63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44C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230" w:rsidRPr="00006230" w14:paraId="377BF89B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2E7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задолженность, платежи по которой ожидаются в течение 12 месяцев после отчетной даты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07C6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531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3A8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</w:tr>
      <w:tr w:rsidR="00006230" w:rsidRPr="00006230" w14:paraId="10A1533C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33C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8B24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758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BD1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06230" w:rsidRPr="00006230" w14:paraId="4AFF5A9D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CEA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D7A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7D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0B0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230" w:rsidRPr="00006230" w14:paraId="3F874201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21C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0F34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0EF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F25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</w:tr>
      <w:tr w:rsidR="00006230" w:rsidRPr="00006230" w14:paraId="2F0C7EA9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F0C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3ED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457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451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7479</w:t>
            </w:r>
          </w:p>
        </w:tc>
      </w:tr>
      <w:tr w:rsidR="00006230" w:rsidRPr="00006230" w14:paraId="1CEF12E5" w14:textId="77777777" w:rsidTr="00006230">
        <w:trPr>
          <w:trHeight w:val="1074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D8F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  <w:p w14:paraId="4A8623D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Капитал и резервы</w:t>
            </w:r>
          </w:p>
          <w:p w14:paraId="171AA35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Уставные капитал (складочный капитал, уставный фонд, вклады товарищей)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9E49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BC2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76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06230" w:rsidRPr="00006230" w14:paraId="5BF61F66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8D7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09D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31E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99B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006230" w:rsidRPr="00006230" w14:paraId="63D9BE90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6ED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E47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D7A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693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</w:tr>
      <w:tr w:rsidR="00006230" w:rsidRPr="00006230" w14:paraId="3DFCA40B" w14:textId="77777777" w:rsidTr="00006230">
        <w:trPr>
          <w:trHeight w:val="547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FE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Долгосрочные обязательства</w:t>
            </w:r>
          </w:p>
          <w:p w14:paraId="004C5DF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E960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E36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6287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5FA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566F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6230" w:rsidRPr="00006230" w14:paraId="3747B6D4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135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AB5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38A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9D5C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006230" w:rsidRPr="00006230" w14:paraId="7E98B84A" w14:textId="77777777" w:rsidTr="00006230">
        <w:trPr>
          <w:trHeight w:val="537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5C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Краткосрочные обязательства</w:t>
            </w:r>
          </w:p>
          <w:p w14:paraId="390D971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91D7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D856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7CD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6209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3A0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C342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</w:tr>
      <w:tr w:rsidR="00006230" w:rsidRPr="00006230" w14:paraId="006404A5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B1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6DC0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18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A18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</w:t>
            </w:r>
          </w:p>
        </w:tc>
      </w:tr>
      <w:tr w:rsidR="00006230" w:rsidRPr="00006230" w14:paraId="1F78DD2C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08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33D6C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252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B2D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230" w:rsidRPr="00006230" w14:paraId="26CD2A0F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17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49B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B00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98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</w:t>
            </w:r>
          </w:p>
        </w:tc>
      </w:tr>
      <w:tr w:rsidR="00006230" w:rsidRPr="00006230" w14:paraId="4E1108DD" w14:textId="77777777" w:rsidTr="00006230">
        <w:trPr>
          <w:trHeight w:val="20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A6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105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45F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4B2E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7479</w:t>
            </w:r>
          </w:p>
        </w:tc>
      </w:tr>
    </w:tbl>
    <w:p w14:paraId="7E8DE85D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82F13" w14:textId="77777777" w:rsidR="00006230" w:rsidRPr="00006230" w:rsidRDefault="00006230" w:rsidP="00006230">
      <w:pPr>
        <w:spacing w:after="0" w:line="240" w:lineRule="auto"/>
        <w:ind w:firstLine="51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прибылях и убытках за 2012-2013гг., 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72"/>
        <w:gridCol w:w="1172"/>
      </w:tblGrid>
      <w:tr w:rsidR="00006230" w:rsidRPr="00006230" w14:paraId="48FCB257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BD2A5F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14:paraId="4B36128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2013г.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1B369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2012г.</w:t>
            </w:r>
          </w:p>
        </w:tc>
      </w:tr>
      <w:tr w:rsidR="00006230" w:rsidRPr="00006230" w14:paraId="7849A0AB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1527C5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</w:tc>
        <w:tc>
          <w:tcPr>
            <w:tcW w:w="0" w:type="auto"/>
          </w:tcPr>
          <w:p w14:paraId="7479BD9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A764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12328</w:t>
            </w:r>
          </w:p>
        </w:tc>
      </w:tr>
      <w:tr w:rsidR="00006230" w:rsidRPr="00006230" w14:paraId="289984C1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3BA5B69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0" w:type="auto"/>
          </w:tcPr>
          <w:p w14:paraId="5F5A52B6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3EF21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-9 625</w:t>
            </w:r>
          </w:p>
        </w:tc>
      </w:tr>
      <w:tr w:rsidR="00006230" w:rsidRPr="00006230" w14:paraId="3681815E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486A9B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0" w:type="auto"/>
          </w:tcPr>
          <w:p w14:paraId="5D28D36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1EF2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</w:t>
            </w:r>
          </w:p>
        </w:tc>
      </w:tr>
      <w:tr w:rsidR="00006230" w:rsidRPr="00006230" w14:paraId="1887228B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14CBBD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0" w:type="auto"/>
          </w:tcPr>
          <w:p w14:paraId="17CEAC34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107D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-2 314</w:t>
            </w:r>
          </w:p>
        </w:tc>
      </w:tr>
      <w:tr w:rsidR="00006230" w:rsidRPr="00006230" w14:paraId="47747198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1344FB2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0" w:type="auto"/>
            <w:vAlign w:val="bottom"/>
          </w:tcPr>
          <w:p w14:paraId="5863B3A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0C9A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006230" w:rsidRPr="00006230" w14:paraId="126583FF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5936A5F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0" w:type="auto"/>
            <w:vAlign w:val="bottom"/>
          </w:tcPr>
          <w:p w14:paraId="2089D51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09D75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06230" w:rsidRPr="00006230" w14:paraId="4F0621F1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5B85961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0" w:type="auto"/>
            <w:vAlign w:val="bottom"/>
          </w:tcPr>
          <w:p w14:paraId="2EDBE2F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0270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-402</w:t>
            </w:r>
          </w:p>
        </w:tc>
      </w:tr>
      <w:tr w:rsidR="00006230" w:rsidRPr="00006230" w14:paraId="5B60DA54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3950F1B1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bottom"/>
          </w:tcPr>
          <w:p w14:paraId="7154F6A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75F5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06230" w:rsidRPr="00006230" w14:paraId="376B9BBF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DA4A6ED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bottom"/>
          </w:tcPr>
          <w:p w14:paraId="20A4A6D8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170A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-976</w:t>
            </w:r>
          </w:p>
        </w:tc>
      </w:tr>
      <w:tr w:rsidR="00006230" w:rsidRPr="00006230" w14:paraId="09C7C82F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vAlign w:val="bottom"/>
            <w:hideMark/>
          </w:tcPr>
          <w:p w14:paraId="3642C980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0" w:type="auto"/>
            <w:vAlign w:val="bottom"/>
          </w:tcPr>
          <w:p w14:paraId="3B39088B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99C8F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-932</w:t>
            </w:r>
          </w:p>
        </w:tc>
      </w:tr>
      <w:tr w:rsidR="00006230" w:rsidRPr="00006230" w14:paraId="4C3EFBDB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50576952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0" w:type="auto"/>
            <w:vAlign w:val="bottom"/>
          </w:tcPr>
          <w:p w14:paraId="44705C1C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A788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006230" w:rsidRPr="00006230" w14:paraId="1E851821" w14:textId="77777777" w:rsidTr="00006230">
        <w:trPr>
          <w:trHeight w:val="340"/>
          <w:jc w:val="center"/>
        </w:trPr>
        <w:tc>
          <w:tcPr>
            <w:tcW w:w="4851" w:type="dxa"/>
            <w:shd w:val="clear" w:color="auto" w:fill="auto"/>
            <w:noWrap/>
            <w:vAlign w:val="bottom"/>
            <w:hideMark/>
          </w:tcPr>
          <w:p w14:paraId="2750E377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0" w:type="auto"/>
            <w:vAlign w:val="bottom"/>
          </w:tcPr>
          <w:p w14:paraId="65331D13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F61BA" w14:textId="77777777" w:rsidR="00006230" w:rsidRPr="00006230" w:rsidRDefault="00006230" w:rsidP="0000623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-936</w:t>
            </w:r>
          </w:p>
        </w:tc>
      </w:tr>
    </w:tbl>
    <w:p w14:paraId="72FB71B1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458CFC" w14:textId="77777777" w:rsidR="00006230" w:rsidRPr="00006230" w:rsidRDefault="00006230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E78CA" w14:textId="77777777" w:rsidR="003D36C1" w:rsidRPr="00006230" w:rsidRDefault="003D36C1" w:rsidP="00006230">
      <w:pPr>
        <w:spacing w:after="0" w:line="240" w:lineRule="auto"/>
        <w:ind w:firstLine="51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36C1" w:rsidRPr="00006230" w:rsidSect="00006230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FC9"/>
    <w:multiLevelType w:val="hybridMultilevel"/>
    <w:tmpl w:val="D5D60EEA"/>
    <w:lvl w:ilvl="0" w:tplc="8BB088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B31"/>
    <w:multiLevelType w:val="hybridMultilevel"/>
    <w:tmpl w:val="A0A8B3C8"/>
    <w:lvl w:ilvl="0" w:tplc="918AD64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0648A"/>
    <w:multiLevelType w:val="hybridMultilevel"/>
    <w:tmpl w:val="E28A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5100"/>
    <w:multiLevelType w:val="hybridMultilevel"/>
    <w:tmpl w:val="80A4A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4647AD"/>
    <w:multiLevelType w:val="hybridMultilevel"/>
    <w:tmpl w:val="B5D2E00A"/>
    <w:lvl w:ilvl="0" w:tplc="5B9492B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233E2D"/>
    <w:multiLevelType w:val="hybridMultilevel"/>
    <w:tmpl w:val="F578B0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6B3344"/>
    <w:multiLevelType w:val="hybridMultilevel"/>
    <w:tmpl w:val="55FE4CAA"/>
    <w:lvl w:ilvl="0" w:tplc="CDFA728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407934E6"/>
    <w:multiLevelType w:val="hybridMultilevel"/>
    <w:tmpl w:val="6D4C674E"/>
    <w:lvl w:ilvl="0" w:tplc="F79CC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261659"/>
    <w:multiLevelType w:val="hybridMultilevel"/>
    <w:tmpl w:val="50C06F04"/>
    <w:lvl w:ilvl="0" w:tplc="8A2C3BC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37307099">
    <w:abstractNumId w:val="4"/>
  </w:num>
  <w:num w:numId="2" w16cid:durableId="689600053">
    <w:abstractNumId w:val="1"/>
  </w:num>
  <w:num w:numId="3" w16cid:durableId="1429543755">
    <w:abstractNumId w:val="0"/>
  </w:num>
  <w:num w:numId="4" w16cid:durableId="557202565">
    <w:abstractNumId w:val="3"/>
  </w:num>
  <w:num w:numId="5" w16cid:durableId="1171022949">
    <w:abstractNumId w:val="5"/>
  </w:num>
  <w:num w:numId="6" w16cid:durableId="1623341626">
    <w:abstractNumId w:val="7"/>
  </w:num>
  <w:num w:numId="7" w16cid:durableId="1130827834">
    <w:abstractNumId w:val="6"/>
  </w:num>
  <w:num w:numId="8" w16cid:durableId="1196581143">
    <w:abstractNumId w:val="8"/>
  </w:num>
  <w:num w:numId="9" w16cid:durableId="153796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B9"/>
    <w:rsid w:val="00003381"/>
    <w:rsid w:val="00006230"/>
    <w:rsid w:val="00025C2C"/>
    <w:rsid w:val="00033755"/>
    <w:rsid w:val="000D5DCB"/>
    <w:rsid w:val="000E5B08"/>
    <w:rsid w:val="00122D62"/>
    <w:rsid w:val="00123154"/>
    <w:rsid w:val="00140AEE"/>
    <w:rsid w:val="00176123"/>
    <w:rsid w:val="00187B78"/>
    <w:rsid w:val="001A1A0C"/>
    <w:rsid w:val="001A6CBF"/>
    <w:rsid w:val="0023389F"/>
    <w:rsid w:val="00242592"/>
    <w:rsid w:val="00245DB9"/>
    <w:rsid w:val="0025455E"/>
    <w:rsid w:val="00257DEC"/>
    <w:rsid w:val="00261AEC"/>
    <w:rsid w:val="002D0637"/>
    <w:rsid w:val="002D22B3"/>
    <w:rsid w:val="003C523B"/>
    <w:rsid w:val="003D36C1"/>
    <w:rsid w:val="003D3ECA"/>
    <w:rsid w:val="0040481B"/>
    <w:rsid w:val="00444CC5"/>
    <w:rsid w:val="00445061"/>
    <w:rsid w:val="00486CAD"/>
    <w:rsid w:val="006445E7"/>
    <w:rsid w:val="006A5CCF"/>
    <w:rsid w:val="006E7A28"/>
    <w:rsid w:val="00703236"/>
    <w:rsid w:val="007745B1"/>
    <w:rsid w:val="00784E9A"/>
    <w:rsid w:val="007D01B7"/>
    <w:rsid w:val="00843598"/>
    <w:rsid w:val="00852438"/>
    <w:rsid w:val="008528FB"/>
    <w:rsid w:val="00852A2B"/>
    <w:rsid w:val="008629BC"/>
    <w:rsid w:val="008814A8"/>
    <w:rsid w:val="008932FD"/>
    <w:rsid w:val="008B010B"/>
    <w:rsid w:val="008B4CFE"/>
    <w:rsid w:val="008E76E5"/>
    <w:rsid w:val="009556A7"/>
    <w:rsid w:val="009972A8"/>
    <w:rsid w:val="00A525B1"/>
    <w:rsid w:val="00B00037"/>
    <w:rsid w:val="00B33E10"/>
    <w:rsid w:val="00B60DDB"/>
    <w:rsid w:val="00BD457C"/>
    <w:rsid w:val="00C161DE"/>
    <w:rsid w:val="00C25D3A"/>
    <w:rsid w:val="00C31750"/>
    <w:rsid w:val="00C633D2"/>
    <w:rsid w:val="00CE2817"/>
    <w:rsid w:val="00CF5A72"/>
    <w:rsid w:val="00D10D2D"/>
    <w:rsid w:val="00D136F4"/>
    <w:rsid w:val="00D22F63"/>
    <w:rsid w:val="00D33E0D"/>
    <w:rsid w:val="00D62570"/>
    <w:rsid w:val="00DA0398"/>
    <w:rsid w:val="00DA1C85"/>
    <w:rsid w:val="00DB00DA"/>
    <w:rsid w:val="00E349E8"/>
    <w:rsid w:val="00E83F33"/>
    <w:rsid w:val="00EC509D"/>
    <w:rsid w:val="00F426DB"/>
    <w:rsid w:val="00F62C3A"/>
    <w:rsid w:val="00FC1FB4"/>
    <w:rsid w:val="00FC73EF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A37B"/>
  <w15:docId w15:val="{51954FE6-7454-4D67-9A04-2CD4983D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D2"/>
    <w:pPr>
      <w:ind w:left="720"/>
      <w:contextualSpacing/>
    </w:pPr>
  </w:style>
  <w:style w:type="character" w:styleId="a4">
    <w:name w:val="Strong"/>
    <w:basedOn w:val="a0"/>
    <w:uiPriority w:val="22"/>
    <w:qFormat/>
    <w:rsid w:val="006445E7"/>
    <w:rPr>
      <w:b/>
      <w:bCs/>
    </w:rPr>
  </w:style>
  <w:style w:type="table" w:styleId="a5">
    <w:name w:val="Table Grid"/>
    <w:basedOn w:val="a1"/>
    <w:uiPriority w:val="59"/>
    <w:rsid w:val="00D62570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D62570"/>
    <w:pPr>
      <w:spacing w:after="120"/>
    </w:pPr>
    <w:rPr>
      <w:rFonts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2570"/>
    <w:rPr>
      <w:rFonts w:cs="Times New Roman"/>
      <w:sz w:val="28"/>
      <w:szCs w:val="28"/>
    </w:rPr>
  </w:style>
  <w:style w:type="paragraph" w:customStyle="1" w:styleId="lat">
    <w:name w:val="lat"/>
    <w:basedOn w:val="a"/>
    <w:rsid w:val="0000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5C6A-FB3D-4750-98DB-D54F5037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KafedraEF</dc:creator>
  <cp:lastModifiedBy>user1</cp:lastModifiedBy>
  <cp:revision>2</cp:revision>
  <dcterms:created xsi:type="dcterms:W3CDTF">2022-05-25T05:26:00Z</dcterms:created>
  <dcterms:modified xsi:type="dcterms:W3CDTF">2022-05-25T05:26:00Z</dcterms:modified>
</cp:coreProperties>
</file>